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昌州财建（2022）115号-2023年中央林业改革发展资金（国土绿化-草原生态修复治理）</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木垒县草原工作站本级</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木垒县草原工作站本级</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乌拉孜</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建（2022）115号-2023年中央林业改革发展资金（国土绿化-草原生态修复治理）文件2023年完成草原围栏建设任务的草原生态修复治理措施，促进草原生态恢复，提升生物性，增加草产量。改善木垒县草原生态环境，促进当地生态条件改善；建设草原围栏6万亩，合格率100%；群众满意度90%以上，为了进一步夯实基层基础，促进村级组织依法有效履行职能，建立健全“资金稳定、管理规范、责任明晰、保障有力”的村级组织运转经费保障机制，根据《昌州财建（2022）115号-2023年中央林业改革发展资金（国土绿化-草原生态修复治理）文件》立项，文件明确列入规划的村级组织运转保障经费是为了保障村级组织正常开展日常工作设立的资金，使用范围主要包括干部薪酬、离任村主职干部生活困难补助、村办公经费及其他必要支出，我单位实施了《昌州财建（2022）115号-2023年中央林业改革发展资金（国土绿化-草原生态修复治理）文件》立项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为保障教育事业的均衡发展，根据</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rPr>
        <w:t>昌州财建（2022）115号-2023年中央林业改革发展资金（国土绿化-草原生态修复治理）文件》立项文件》立项，设立了《昌州财建（2022）115号-2023年中央林业改革发展资金（国土绿化-草原生态修复治理）文件》立项项目补助经费，由我单位主管，资金主要用于《昌州财建（2022）115号-2023年中央林业改革发展资金（国土绿化-草原生态修复治理）文件》立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州财建（2022）115号-2023年中央林业改革发展资金（国土绿化-草原生态修复治理）文件》立项项目资金主要用于2023年《昌州财建（2022）115号-2023年中央林业改革发展资金（国土绿化-草原生态修复治理）文件》工作经费支出，主要用于草原生态治理修复等费用。完成草原围栏建设任务的草原生态修复治理措施，促进草原生态恢复，提升生物性，增加草产量。改善木垒县草原生态环境，促进当地生态条件改善；建设草原围栏6万亩。</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3.1完成了木垒县2022年第二批中央林业草原生态保护恢复资金（草原生态修复治理）项目，总投资201万元，建设内容为草原围栏建设8万亩。该项目已完成县级验收并投入使用。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3.2完成了木垒县2023年中央财政林业改革发展资金（草原生态修复治理补助、林草有害生物防治补助）项目，总投资共189万元，建设内容为草原围栏建设6万亩，草原有害生物防治13亩。该项目已完成县级验收并投入使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3.3完成了木垒县2023年第二批中央林业草原生态保护恢复资金项目，总投资共440.5万元，草原围栏建设17.62万亩。该项目已完成县级验收并投入使用。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3.4完成了2023年草原有害生物防治任务13万亩，其中：鼠害5万亩，虫害防治8万亩，生物防治要达90%以上，防治效果达到了85%以上。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州财建（2022）115号-2023年中央林业改革发展资金（国土绿化-草原生态修复治理）项目资金于2023年1月木垒县财政局下发的昌州财建（2022）115号-2023年中央林业改革发展资金（国土绿化-草原生态修复治理）文件安排资金为150万元，为上级财政资金，实际到位率150万元，资金到位率100%，实际执行150万元，执行率100%，资金落实到位。为确保项目资金的安全有效使用、安全运行，提高资金的使用效率，我单位严格按照行政事业单位财务会计内部控制制度执行，资金由财政大平台统一拨付，由财政监管，严禁随意调整预算，改变支出用途，做到专款专用，严禁截留、挪用、挤占项目资金等违规违纪问题的发生。</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州财建（2022）115号-2023年中央林业改革发展资金（国土绿化-草原生态修复治理）项目资金主要用于草原围栏建设。草原围栏建设地点规划：博斯坦乡合然托别村、阿克桌勒村、依尔喀巴克村三个牧业村哈拉东春秋草场区域，东城镇鸡心梁村春秋草场区域。</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2.1 2023年6月前完成草原围栏工作60%；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2.2 2023年6月前完成草原围栏工作100%；</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对2023年度财政下拨的昌州财建（2022）115号-2023年中央林业改革发展资金（国土绿化-草原生态修复治理）项目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昌州财建（2022）115号-2023年中央林业改革发展资金（国土绿化-草原生态修复治理）项目支出资金。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主要对昌州财建（2022）115号-2023年中央林业改革发展资金（国土绿化-草原生态修复治理）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本次绩效评价严格按照《财政部关于印发&lt;项目支出绩效评价管理办法&gt;的通知》（财预【2020】10号）等文件要求，按照科学合理的方式，综合分析考核项目的绩效情况。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（1）科学规范原则。坚持严格执行规定的程序，按照科学可行的要求，采用定量与定性分析相结合的方法。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（2）公正公开原则。坚持符合真实、客观、公正的要求，依法公开并接受监督。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（3）分级分类原则。坚持根据评价对象的特点分类组织实施。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本项目主要采用全面评价和重点评价相结合、现场评价和非现场评价相结合的方式，运用综合评分法进行评价。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财政支出绩效评价指标包括两大类，一类是定量指标，一类是定性指标。本次绩效评价采用“定量的指标体系的打分评价”+“定性的调查信息的归纳和提炼”，两种方式互相补充以构成对本次项目的完整评价。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 2024年1月1日，我单位在收到自评工作任务后及时组织了绩效评价工作小组，其中局长为组长，主要负责工作安排，副局长为副组长，主要负责报告的审核、指导，组员负责资料、数据整理，编制报告。小组制定了项目评价的工作思路及工作安排，参考学习了相关政策制度、实施方案和相关的工作文件，为评价工作的开展提供工作指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1.22024年1月17日，评价组通过前期调研确定绩效评价对象和范围，确定了评价的目的、方法以及评价的原则；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1.3 2024年1月25日，根据项目的实施内容和特征制定了评价指标体系及评价标准以及评价实施方案，修正并确定所需资料清单，最终确定绩效评价工作方案；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2024年3月1日-3月31日，评价工作进入实施阶段：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2.1  评价组收集绩效评价相关数据资料，进行现场调研、座谈；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2024年2月24日- 3月3日，评价组按照绩效评价的原则和规范，对取得的资料进行审查核实，对采集的数据进行分析，按照绩效评价指标评分表逐项进行打分、分析，汇总各方评价结果，综合分析并形成评价结论。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评价小组根据对项目的资料、实施情况进行核实分析后，围绕评价体系对项目支出绩效进行了评价打分，并撰写了绩效评价报告，报告编制完成后上报至单位领导处进行定稿，最终将定稿报告上报至木垒财政局。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5.资料归档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评价小组对已完成的评价项目资料进行整理、封装，完善绩效评价工作底稿，并将资料整理成册后交档案室统一归档保存，以备后期查阅。</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（一）综合评价情况及评价结论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草原工作站本级单位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本项目通过制定的评价指标体系及评分标准，运用数据采集、问卷调查及访谈等方式，对本项目绩效进行客观评价，最终评分结果：总分为91分。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（二）相关评分表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各部分权重和绩效分值如下表所示：（详细评分表见附表）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hint="eastAsia" w:ascii="楷体" w:hAnsi="楷体" w:eastAsia="楷体"/>
          <w:b w:val="0"/>
          <w:bCs w:val="0"/>
          <w:spacing w:val="-4"/>
          <w:sz w:val="32"/>
          <w:szCs w:val="32"/>
        </w:rPr>
        <w:tab/>
        <w:t>项目决策</w:t>
      </w:r>
      <w:r>
        <w:rPr>
          <w:rStyle w:val="18"/>
          <w:rFonts w:hint="eastAsia" w:ascii="楷体" w:hAnsi="楷体" w:eastAsia="楷体"/>
          <w:b w:val="0"/>
          <w:bCs w:val="0"/>
          <w:spacing w:val="-4"/>
          <w:sz w:val="32"/>
          <w:szCs w:val="32"/>
        </w:rPr>
        <w:tab/>
        <w:t>项目过程</w:t>
      </w:r>
      <w:r>
        <w:rPr>
          <w:rStyle w:val="18"/>
          <w:rFonts w:hint="eastAsia" w:ascii="楷体" w:hAnsi="楷体" w:eastAsia="楷体"/>
          <w:b w:val="0"/>
          <w:bCs w:val="0"/>
          <w:spacing w:val="-4"/>
          <w:sz w:val="32"/>
          <w:szCs w:val="32"/>
        </w:rPr>
        <w:tab/>
        <w:t>项目产出</w:t>
      </w:r>
      <w:r>
        <w:rPr>
          <w:rStyle w:val="18"/>
          <w:rFonts w:hint="eastAsia" w:ascii="楷体" w:hAnsi="楷体" w:eastAsia="楷体"/>
          <w:b w:val="0"/>
          <w:bCs w:val="0"/>
          <w:spacing w:val="-4"/>
          <w:sz w:val="32"/>
          <w:szCs w:val="32"/>
        </w:rPr>
        <w:tab/>
        <w:t>项目效益</w:t>
      </w:r>
      <w:r>
        <w:rPr>
          <w:rStyle w:val="18"/>
          <w:rFonts w:hint="eastAsia" w:ascii="楷体" w:hAnsi="楷体" w:eastAsia="楷体"/>
          <w:b w:val="0"/>
          <w:bCs w:val="0"/>
          <w:spacing w:val="-4"/>
          <w:sz w:val="32"/>
          <w:szCs w:val="32"/>
        </w:rPr>
        <w:tab/>
        <w:t>合计分值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权重</w:t>
      </w:r>
      <w:r>
        <w:rPr>
          <w:rStyle w:val="18"/>
          <w:rFonts w:hint="eastAsia" w:ascii="楷体" w:hAnsi="楷体" w:eastAsia="楷体"/>
          <w:b w:val="0"/>
          <w:bCs w:val="0"/>
          <w:spacing w:val="-4"/>
          <w:sz w:val="32"/>
          <w:szCs w:val="32"/>
        </w:rPr>
        <w:tab/>
        <w:t>15</w:t>
      </w:r>
      <w:r>
        <w:rPr>
          <w:rStyle w:val="18"/>
          <w:rFonts w:hint="eastAsia" w:ascii="楷体" w:hAnsi="楷体" w:eastAsia="楷体"/>
          <w:b w:val="0"/>
          <w:bCs w:val="0"/>
          <w:spacing w:val="-4"/>
          <w:sz w:val="32"/>
          <w:szCs w:val="32"/>
        </w:rPr>
        <w:tab/>
        <w:t>15</w:t>
      </w:r>
      <w:r>
        <w:rPr>
          <w:rStyle w:val="18"/>
          <w:rFonts w:hint="eastAsia" w:ascii="楷体" w:hAnsi="楷体" w:eastAsia="楷体"/>
          <w:b w:val="0"/>
          <w:bCs w:val="0"/>
          <w:spacing w:val="-4"/>
          <w:sz w:val="32"/>
          <w:szCs w:val="32"/>
        </w:rPr>
        <w:tab/>
        <w:t>50</w:t>
      </w:r>
      <w:r>
        <w:rPr>
          <w:rStyle w:val="18"/>
          <w:rFonts w:hint="eastAsia" w:ascii="楷体" w:hAnsi="楷体" w:eastAsia="楷体"/>
          <w:b w:val="0"/>
          <w:bCs w:val="0"/>
          <w:spacing w:val="-4"/>
          <w:sz w:val="32"/>
          <w:szCs w:val="32"/>
        </w:rPr>
        <w:tab/>
        <w:t>20</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分值</w:t>
      </w:r>
      <w:r>
        <w:rPr>
          <w:rStyle w:val="18"/>
          <w:rFonts w:hint="eastAsia" w:ascii="楷体" w:hAnsi="楷体" w:eastAsia="楷体"/>
          <w:b w:val="0"/>
          <w:bCs w:val="0"/>
          <w:spacing w:val="-4"/>
          <w:sz w:val="32"/>
          <w:szCs w:val="32"/>
        </w:rPr>
        <w:tab/>
        <w:t>14</w:t>
      </w:r>
      <w:r>
        <w:rPr>
          <w:rStyle w:val="18"/>
          <w:rFonts w:hint="eastAsia" w:ascii="楷体" w:hAnsi="楷体" w:eastAsia="楷体"/>
          <w:b w:val="0"/>
          <w:bCs w:val="0"/>
          <w:spacing w:val="-4"/>
          <w:sz w:val="32"/>
          <w:szCs w:val="32"/>
        </w:rPr>
        <w:tab/>
        <w:t>14</w:t>
      </w:r>
      <w:r>
        <w:rPr>
          <w:rStyle w:val="18"/>
          <w:rFonts w:hint="eastAsia" w:ascii="楷体" w:hAnsi="楷体" w:eastAsia="楷体"/>
          <w:b w:val="0"/>
          <w:bCs w:val="0"/>
          <w:spacing w:val="-4"/>
          <w:sz w:val="32"/>
          <w:szCs w:val="32"/>
        </w:rPr>
        <w:tab/>
        <w:t>45</w:t>
      </w:r>
      <w:r>
        <w:rPr>
          <w:rStyle w:val="18"/>
          <w:rFonts w:hint="eastAsia" w:ascii="楷体" w:hAnsi="楷体" w:eastAsia="楷体"/>
          <w:b w:val="0"/>
          <w:bCs w:val="0"/>
          <w:spacing w:val="-4"/>
          <w:sz w:val="32"/>
          <w:szCs w:val="32"/>
        </w:rPr>
        <w:tab/>
        <w:t>18</w:t>
      </w:r>
      <w:r>
        <w:rPr>
          <w:rStyle w:val="18"/>
          <w:rFonts w:hint="eastAsia" w:ascii="楷体" w:hAnsi="楷体" w:eastAsia="楷体"/>
          <w:b w:val="0"/>
          <w:bCs w:val="0"/>
          <w:spacing w:val="-4"/>
          <w:sz w:val="32"/>
          <w:szCs w:val="32"/>
        </w:rPr>
        <w:tab/>
        <w:t>91</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（1）项目立项依据《昌州财建（2022）115号-2023年中央林业改革发展资金（国土绿化-草原生态修复治理）文件》规划。</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（2）项目立项依据草原围栏实施方案。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（3）项目立项依据上级各领导经研究已批准。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①项目立项程序：提报项目建议书、申请立项过程等均按照立项程序的相关规定进行；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②审批文件、材料：本项目审批文件有：《昌州财建（2022）115号-2023年中央林业改革发展资金（国土绿化-草原生态修复治理）文件》审批文件及材料齐全；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③项目事前工作：本项目已经过必要的可行性研究、专家论证、风险评估、绩效评估、集体决策。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州财建（2022）115号-2023年中央林业改革发展资金（国土绿化-草原生态修复治理）文件》项目设立了项目绩效目标，项目的预期产出效益和效果也均能符合正常的业绩水平，并且与预算确定的项目投资额或资金量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州财建（2022）115号-2023年中央林业改革发展资金（国土绿化-草原生态修复治理）文件》项目绩效目标细化分解为具体的绩效指标，一级指标共4条，二级指标共7条，三级指标共7条，其中量化指标条数共7条，所有绩效指标均通过清晰、可衡量的指标值予以体现，并且做到了与项目目标任务数或计划数相对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建设内容及工程量严格按照《建设工程工程量清单计价规范》（GB50500-2013）规定计算，项目预算编制根据项目建设内容进行计算，预算数经过人大会议及专家论证确定，预算内容与项目内容无偏差，预算额度测算依据充分，项目投资额与工作任务匹配性100%，不存在偏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预算资金分配依据《昌州财建（2022）115号-2023年中央林业改革发展资金（国土绿化-草原生态修复治理）文件》批复，项目资金分配额度无偏低或偏高情况，分配额度合理。项目单位为木垒县草原工作站位于木垒县，资金分配与单位实际相适应。</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实际到位资金150万元，预算资金150万元，资金到位率100%。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年初预算数150万元，全年预算数150万元，全年执行数150万元，预算执行率为100%。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3.1 资金使用符合、财务管理制度以及有关专项资金管理办法的规定；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3.2 资金的拨付严格按照行政事业单位资金拨付审批程序进行：由财务科室提交资金支付申请到主管领导，经审批后提交到木垒县财政局。项目资金拨付手续齐全，资金拨付手续有：资金申请单、资金审批单、报告、合同、发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3.3 本项目资金合同规定的用途为：完成草原围栏建设任务的草原生态修复治理措施，促进草原生态恢复，提升生物性，增加草产量。改善木垒县草原生态环境，促进当地生态条件改善。符合项目预算批复及合同规定的用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3.4 项目资金截至2023年12月31日已拨付100%，过程不存在截留、挤占、挪用、虚列支出等情况。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4.1 本项目已制定</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rPr>
        <w:t>昌州财建（2022）115号-2023年中央林业改革发展资金（国土绿化-草原生态修复治理）文件》项目财务管理制度》，管理制度健全；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4.2 本项目财务及业务管理制度符合《中华人民共和国政府采购法》、《中华人民共和国会计法》等相关法律法规，财务和业务管理制度已经过相关部门审批通过，确保了各项制度的合法合规性及完整性。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5.1 项目的审批、招标、建设、验收过程均遵守相关法律法规和相关管理规定；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5.2 本项目无调整情况；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5.3 项目合同书、验收报告、技术鉴定等资料齐全并已及时归档；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5.4 项目实施的人员条件、场地设备、信息支撑等均已落实到位。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我单位《昌州财建（2022）115号-2023年中央林业改革发展资金（国土绿化-草原生态修复治理）文件》项目截止到2023年12月31日，已完成建设草原围栏6万亩，合格率100%；群众满意度90%以上；其中：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1.项目完成数量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指标1：草原围栏面积，指标值：=6万亩，实际完成值6万亩  ，指标完成率100 %，偏差原因：无；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2.项目完成质量：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指标1：草原生态修复治理质量达标率，指标值：&gt;=90%，实际完成值90%，指标完成率100 %，偏差原因：无；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3.项目完成时效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指标1：草原围栏建设任务完成率，指标值：=100% ，实际完成值100%，指标完成率100%，偏差原因：无；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4.项目完成成本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指标1：草原围栏成本，指标值：&lt;=25亩/元 ，实际完成值25亩/元，指标完成率100%，偏差原因：无；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指标2：辖区居民投诉率，指标值：=0% ，实际完成值0%，指标完成率100%，偏差原因：无。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我单位《昌州财建（2022）115号-2023年中央林业改革发展资金（国土绿化-草原生态修复治理）文件》项目截止到2023年12月31日，已完成100；其中：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1.项目实施的经济效益分析：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我单位2023年无经济效益。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2.项目实施的社会效益分析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w:t>
      </w:r>
      <w:r>
        <w:rPr>
          <w:rStyle w:val="18"/>
          <w:rFonts w:hint="eastAsia" w:ascii="楷体" w:hAnsi="楷体" w:eastAsia="楷体"/>
          <w:b w:val="0"/>
          <w:bCs w:val="0"/>
          <w:spacing w:val="-4"/>
          <w:sz w:val="32"/>
          <w:szCs w:val="32"/>
        </w:rPr>
        <w:tab/>
        <w:t>改善退化草原完成率，指标值：&gt;=90% ，实际完成值90%，指标完成率100%，偏差原因：无。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3.项目实施的生态效益分析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我单位2023年无生态效益。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4.项目实施的可持续影响分析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我单位2023年无可持续影响指标。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（五）满意度指标完成情况分析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指标1：受益群众满意度，指标值：&gt;=95% ，实际完成值95% ，指标完成率100%，偏差原因：无。</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木垒县草原工作站本级单位于2023年1月1日拨付150万元。截至2023年12月31日已执行150万元，预算执行率100%。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本项目绩效指标无偏差情况。</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（1）是领导高度重视。专项资金预算下拨后，主要领导和分管领导高度重视，落实责任分工，确保项目顺利进行。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（2）是管理愈加规范。制定了专项资金管理工作制度，明确了资金付款流程，统一了资金申请手续，做到了层层审核、层层负责、层层把关，付款中全部要求请款单位提供正规发票，没用白条入账现象。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（二）后续工作计划</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我们将进一步加强资金管理、项目管理，用制度、用规范来有效提高项目进度，专人负责资金、专人负责项目现场管理，确保该项目在既定时间内完成所有工程量，达到预期效果。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1.存在的问题：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2.改进措施：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（1）科学编制预算，提高预算与目标匹配度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对此，预算单位会同财政部门共同梳理项目绩效目标，合理测算项目工作量，科学编制预算。</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2.健全制度，加强督促。针对项目实施中存在的问题，进一步完善相关制度，加强督促检查，确保质量安全和建设进度；同时及时完善资料，妥善保管档案。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2D816AEF"/>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2025-04-22T11:11:24Z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C734C92AAAF24344A0E4232D8EB3359B</vt:lpwstr>
  </property>
</Properties>
</file>